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50" w:rsidRPr="00A91550" w:rsidRDefault="00A91550" w:rsidP="00A91550">
      <w:pPr>
        <w:spacing w:before="120" w:after="0" w:line="240" w:lineRule="auto"/>
        <w:jc w:val="center"/>
        <w:rPr>
          <w:rFonts w:ascii="Calibri" w:hAnsi="Calibri" w:cs="Calibri"/>
          <w:color w:val="FF0000"/>
          <w:sz w:val="28"/>
          <w:szCs w:val="28"/>
        </w:rPr>
      </w:pPr>
      <w:r w:rsidRPr="00A91550">
        <w:rPr>
          <w:rFonts w:ascii="Calibri" w:hAnsi="Calibri" w:cs="Calibri"/>
          <w:color w:val="FF0000"/>
          <w:sz w:val="28"/>
          <w:szCs w:val="28"/>
          <w:rtl/>
        </w:rPr>
        <w:t>بِاسْمِهِ سُبْحَانَهُ</w:t>
      </w:r>
    </w:p>
    <w:p w:rsidR="00A91550" w:rsidRPr="00A91550" w:rsidRDefault="00A91550" w:rsidP="00A91550">
      <w:pPr>
        <w:spacing w:before="120" w:after="0" w:line="240" w:lineRule="auto"/>
        <w:jc w:val="center"/>
        <w:rPr>
          <w:rFonts w:ascii="Calibri" w:hAnsi="Calibri" w:cs="Calibri"/>
          <w:color w:val="FF0000"/>
          <w:sz w:val="28"/>
          <w:szCs w:val="28"/>
        </w:rPr>
      </w:pPr>
      <w:r w:rsidRPr="00A91550">
        <w:rPr>
          <w:rFonts w:ascii="Calibri" w:hAnsi="Calibri" w:cs="Calibri"/>
          <w:color w:val="FF0000"/>
          <w:sz w:val="28"/>
          <w:szCs w:val="28"/>
          <w:rtl/>
        </w:rPr>
        <w:t>اَلسَّلاَمُ عَلَيْكُمْ وَ رَحْمَةُ اللَّهِ وَ بَرَكَاتُهُ</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Aziz, sıddık kardeşlerim!</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Yine tekrar hem bayramınızı, hem Feyzi’lerin ve Nazif ve Halil İbrahim gibi etraftaki kardeşlerimin bayramlarını tebrik ediyoruz. Cenab-ı Hak Risale-i Nur’un tab’ ve intişarıyla bizlere manevî bir bayram daha ihsan eylesin, âmîn.</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b/>
          <w:bCs/>
          <w:sz w:val="24"/>
          <w:szCs w:val="24"/>
        </w:rPr>
        <w:t>Saniyen:</w:t>
      </w:r>
      <w:r w:rsidRPr="00A91550">
        <w:rPr>
          <w:rFonts w:ascii="Calibri" w:hAnsi="Calibri" w:cs="Calibri"/>
          <w:sz w:val="24"/>
          <w:szCs w:val="24"/>
        </w:rPr>
        <w:t xml:space="preserve"> Meyve ve Hüccetullah-il Bâliga’nın tab’ına dair ne lâzım ise yaparsınız. Yanımdaki Meyve ile Hüccetullah-il Bâliga Risalesi’ni Aziz’e göndermek istiyorum. Fakat adresini bilmiyorum. Kardeşimiz Tahirî eğer buraya uğrasa münasibdir. Tâ ki yanımdaki nüshayı beraber alsın, fakat Meyve Risalesi’ni burada yazdırmışım, belki iyi okunmaz. Sizin yazılarınızdan birisi beraber gitsin münasib olur. Onuncu ve Onbirinci Hüccetleri ilâve ettim. Husrev’in mektubunda yalnız bir kaç kelimeyi çizdim.</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b/>
          <w:bCs/>
          <w:sz w:val="24"/>
          <w:szCs w:val="24"/>
        </w:rPr>
        <w:t>Sâlisen:</w:t>
      </w:r>
      <w:r w:rsidRPr="00A91550">
        <w:rPr>
          <w:rFonts w:ascii="Calibri" w:hAnsi="Calibri" w:cs="Calibri"/>
          <w:sz w:val="24"/>
          <w:szCs w:val="24"/>
        </w:rPr>
        <w:t xml:space="preserve"> Hafız Ali’nin gitmesindeki acısını iki pehlivan Feyzi’lerin Risale-i Nur’un hizmetine girmeleri o acıyı izale ediyor. Ahmed Feyzi’nin Hafız Ali hakkındaki mersiyesi Hasan Feyzi’nin parlak mektubuna denk olarak ikisini birkaç ehemmiyetli parçalarla beraber bir cilt içinde dercetmişler.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Ahmed Feyzi ve Halil İbrahim’in mektublarını okudum. Bu iki metin ve kıymettar ve tam sâdık kardeşlerim mektublarında benim şahsıma ziyade ehemmiyet veriyorlar. Bu ehemmiyet, Risale-i Nur’un küllî kıymetine ve serbestiyetine belki ilişir ve o ehemmiyetli kardeşlerimin de benim âdi şahsiyetimi bazı hâdiselerle bilmekle ve verdikleri makama hiçbir cihetle lâyık olmadığımı anlamalarıyla inkisar-ı hayale uğramamak ve Risale-i Nur’daki iştiyaklarına fütur gelmemek için şahsıma ait olan fevkalâde hüsn-ü zanlarını Risale-i Nur’a çevirseler daha iyidir. Ben de Halil İbrahim’in parlak sadakatından tezahür eden mektubunu ta’dil edip bana karşı hitabını Risale-i Nur’a çevireceğim, sonra size gönderip Lâhika’ya yazılsın.</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Ve çok dikkatli ve Risale-i Nur’un avukatı kardeşimiz Ahmed Feyzi‘nin Mehdi hâdisesini Risale-i Nur dairesi içinde çokça medar-ı bahsetmesi ehli dünyanın evhamını tahrike sebeb olabilir. Çünki Mehdi mânasında, bir siyaset dahi bulunuyor diye eskiden beri fikirlerde yerleşmiş. Risale-i Nur bu mes’eleyi halletmiştir.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Ahirzamandaki büyük Mehdi’den evvel çok mehdiler gelmiş geçmiş diye Risale-i Nur isbat etmiş. Rivayetlerin muhtelif olması bu noktadan ileri geliyor. Bu zaman şahıs zamanı olmadığından, o ehemmiyetli unvanlar şahıslara verilmez. Hem Risale-i Nur’a da siyaset mânası da taşıyan o unvanı vermemek münasibdir. Müceddidiyet kâfidir.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b/>
          <w:bCs/>
          <w:sz w:val="24"/>
          <w:szCs w:val="24"/>
        </w:rPr>
        <w:t>Gerçi hakikat noktasında ahirzamandaki gelecek büyük Mehdi siyaseti tam dindar İsevîlere bırakıp yalnız İslâmiyet hakikatlarını isbata, izhara, icraya çalışır.</w:t>
      </w:r>
      <w:r w:rsidRPr="00A91550">
        <w:rPr>
          <w:rFonts w:ascii="Calibri" w:hAnsi="Calibri" w:cs="Calibri"/>
          <w:sz w:val="24"/>
          <w:szCs w:val="24"/>
        </w:rPr>
        <w:t xml:space="preserve"> Ve bu nokta-i nazardan Risale-i Nur o zât-ı mübarekin veyahut onun cemaat-ı nuraniyesinin şahs-ı maneviyesinin çok vazifelerinden en ehemmiyetli vazifesi olan hakaik-ı imaniyenin isbat ve neşrini tam yapıyor.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Fakat bu evhamlı ve bahaneleri arayan ve herşeyi siyaset noktasında düşünen adamlara karşı bu Mehdi unvanını Risale-i Nur’a vermek, Risale-i Nur’un ihlâs sırrına ve dünyaya tenezzül etmemesine muvafık olmaz.</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 xml:space="preserve">Evet Risale-i Nur’daki sırr-ı ihlâs, yüzde doksan ihtimaliyle de olsa o makama tâlib olmamaklığımı iktiza ediyor. Çünki küçük bir memuriyet veyahut zabit olmak gibi bir makamı </w:t>
      </w:r>
      <w:r w:rsidRPr="00A91550">
        <w:rPr>
          <w:rFonts w:ascii="Calibri" w:hAnsi="Calibri" w:cs="Calibri"/>
          <w:sz w:val="24"/>
          <w:szCs w:val="24"/>
        </w:rPr>
        <w:lastRenderedPageBreak/>
        <w:t>düşünen, harekâtını o makama tevcih ediyor. Onu maksad yapıp ona çalışıyor, ihlâsını kaybeder. Uhrevî amellerini ona basamak yapsa, bütün bütün yanlış olur.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İşte böyle kudsî ve parlak bir makamı ve memuriyeti dünyada dahi kendine düşünmek ve gaye-i hayal yapmak, bütün harekâtını hattâ uhrevî amellerini o makama yakıştırm</w:t>
      </w:r>
      <w:r>
        <w:rPr>
          <w:rFonts w:ascii="Calibri" w:hAnsi="Calibri" w:cs="Calibri"/>
          <w:sz w:val="24"/>
          <w:szCs w:val="24"/>
        </w:rPr>
        <w:t>ak suretini verdiğinden hakikat-i</w:t>
      </w:r>
      <w:r w:rsidRPr="00A91550">
        <w:rPr>
          <w:rFonts w:ascii="Calibri" w:hAnsi="Calibri" w:cs="Calibri"/>
          <w:sz w:val="24"/>
          <w:szCs w:val="24"/>
        </w:rPr>
        <w:t xml:space="preserve"> ihlâsı bozar.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Eğer öyle bir makam verilse de ihsan-ı İlâhî olur. İnsanın kesb ve ameli ona vesile olamaz ve ekseriyetle bilinmez. Bilinmese daha iyidir.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Ve bilhassa efkâr-ı âmmede siyasetçilik ve hâkimiyet mânası bu Mehdi unvanında bulunduğu ve geçmiş bazı mehdi-misal halifeler o gibi hâdiselerin bir mâsadakı ve medarı olmuşlar.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Elbette bu zamanda siyasete her şeyi feda eden insanlar nazarına karşı Risale-i Nur mesleğindeki ihlâs, böyle şeyleri aramaz. Yalnız bu kadar var ki: Şakirdleri tam itimad ve kat’î yakînlerini takviye için harikulade bir surette hem Risale-i Nur’un şahs-ı manevîsini, hem bazı şakirdlerini, hattâ tercümanını pek büyük makamlarda bulunduklarını itikad edebilirler.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Çünki eskiden beri üstadlarına karşı ziyade hüsn</w:t>
      </w:r>
      <w:r>
        <w:rPr>
          <w:rFonts w:ascii="Calibri" w:hAnsi="Calibri" w:cs="Calibri"/>
          <w:sz w:val="24"/>
          <w:szCs w:val="24"/>
        </w:rPr>
        <w:t>-</w:t>
      </w:r>
      <w:r w:rsidRPr="00A91550">
        <w:rPr>
          <w:rFonts w:ascii="Calibri" w:hAnsi="Calibri" w:cs="Calibri"/>
          <w:sz w:val="24"/>
          <w:szCs w:val="24"/>
        </w:rPr>
        <w:t>ü zan kabul edilmiş, hattâ Kur’andan ve hadisten sonra en mühim hüccet-i imaniye, Risale-i Nur’dur diyebilirler.</w:t>
      </w:r>
    </w:p>
    <w:p w:rsidR="00A91550" w:rsidRPr="00A91550" w:rsidRDefault="00A91550" w:rsidP="00A91550">
      <w:pPr>
        <w:spacing w:before="120" w:after="0" w:line="240" w:lineRule="auto"/>
        <w:jc w:val="both"/>
        <w:rPr>
          <w:rFonts w:ascii="Calibri" w:hAnsi="Calibri" w:cs="Calibri"/>
          <w:sz w:val="24"/>
          <w:szCs w:val="24"/>
        </w:rPr>
      </w:pPr>
      <w:r w:rsidRPr="00A91550">
        <w:rPr>
          <w:rFonts w:ascii="Calibri" w:hAnsi="Calibri" w:cs="Calibri"/>
          <w:sz w:val="24"/>
          <w:szCs w:val="24"/>
        </w:rPr>
        <w:t>Umum kardeşlerime birer birer selâm ve dua, dualarını rica ediyoruz.</w:t>
      </w:r>
    </w:p>
    <w:p w:rsidR="00A91550" w:rsidRPr="00A91550" w:rsidRDefault="00A91550" w:rsidP="00A91550">
      <w:pPr>
        <w:spacing w:before="120" w:after="0" w:line="240" w:lineRule="auto"/>
        <w:jc w:val="right"/>
        <w:rPr>
          <w:rFonts w:ascii="Calibri" w:hAnsi="Calibri" w:cs="Calibri"/>
          <w:color w:val="FF0000"/>
          <w:sz w:val="28"/>
          <w:szCs w:val="28"/>
        </w:rPr>
      </w:pPr>
      <w:r w:rsidRPr="00A91550">
        <w:rPr>
          <w:rFonts w:ascii="Calibri" w:hAnsi="Calibri" w:cs="Calibri"/>
          <w:color w:val="FF0000"/>
          <w:sz w:val="28"/>
          <w:szCs w:val="28"/>
          <w:rtl/>
        </w:rPr>
        <w:t>اَلْبَاقِى هُوَ الْبَاقِى</w:t>
      </w:r>
    </w:p>
    <w:p w:rsidR="00A91550" w:rsidRPr="00A91550" w:rsidRDefault="00A91550" w:rsidP="00A91550">
      <w:pPr>
        <w:spacing w:before="120" w:after="0" w:line="240" w:lineRule="auto"/>
        <w:jc w:val="right"/>
        <w:rPr>
          <w:rFonts w:ascii="Calibri" w:hAnsi="Calibri" w:cs="Calibri"/>
          <w:sz w:val="24"/>
          <w:szCs w:val="24"/>
        </w:rPr>
      </w:pPr>
      <w:r w:rsidRPr="00A91550">
        <w:rPr>
          <w:rFonts w:ascii="Calibri" w:hAnsi="Calibri" w:cs="Calibri"/>
          <w:sz w:val="24"/>
          <w:szCs w:val="24"/>
        </w:rPr>
        <w:t>Kardeşiniz Said Nursî</w:t>
      </w:r>
    </w:p>
    <w:p w:rsidR="00782CAD" w:rsidRPr="00A91550" w:rsidRDefault="00A91550" w:rsidP="00A91550">
      <w:pPr>
        <w:spacing w:before="120" w:after="0" w:line="240" w:lineRule="auto"/>
        <w:jc w:val="right"/>
        <w:rPr>
          <w:rFonts w:ascii="Calibri" w:hAnsi="Calibri" w:cs="Calibri"/>
          <w:sz w:val="24"/>
          <w:szCs w:val="24"/>
        </w:rPr>
      </w:pPr>
      <w:r w:rsidRPr="00A91550">
        <w:rPr>
          <w:rFonts w:ascii="Calibri" w:hAnsi="Calibri" w:cs="Calibri"/>
          <w:sz w:val="24"/>
          <w:szCs w:val="24"/>
        </w:rPr>
        <w:t>(Elyazma Emirdağ Lahikası)</w:t>
      </w:r>
    </w:p>
    <w:sectPr w:rsidR="00782CAD" w:rsidRPr="00A91550" w:rsidSect="00782C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docVars>
    <w:docVar w:name="__Grammarly_42____i" w:val="H4sIAAAAAAAEAKtWckksSQxILCpxzi/NK1GyMqwFAAEhoTITAAAA"/>
    <w:docVar w:name="__Grammarly_42___1" w:val="H4sIAAAAAAAEAKtWcslP9kxRslIyNDYyMzEwMDI1NzKyNDE3NzRT0lEKTi0uzszPAykwrAUAd0hyqSwAAAA="/>
  </w:docVars>
  <w:rsids>
    <w:rsidRoot w:val="00A91550"/>
    <w:rsid w:val="00782CAD"/>
    <w:rsid w:val="00A91550"/>
  </w:rsids>
  <m:mathPr>
    <m:mathFont m:val="Cambria Math"/>
    <m:brkBin m:val="before"/>
    <m:brkBinSub m:val="--"/>
    <m:smallFrac m:val="off"/>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RISALEINUR</dc:creator>
  <cp:lastModifiedBy>RISALEINUR</cp:lastModifiedBy>
  <cp:revision>1</cp:revision>
  <dcterms:created xsi:type="dcterms:W3CDTF">2021-04-27T13:09:00Z</dcterms:created>
  <dcterms:modified xsi:type="dcterms:W3CDTF">2021-04-27T13:14:00Z</dcterms:modified>
</cp:coreProperties>
</file>